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68490" w14:textId="77777777" w:rsidR="007D63CE" w:rsidRDefault="007D63CE" w:rsidP="007D63CE">
      <w:pPr>
        <w:pStyle w:val="Heading1"/>
      </w:pPr>
      <w:r>
        <w:t>Board of Trustees Policy: Personnel Management (NAG 3)</w:t>
      </w:r>
    </w:p>
    <w:p w14:paraId="275860F4" w14:textId="77777777" w:rsidR="006060B9" w:rsidRDefault="006060B9" w:rsidP="006060B9">
      <w:pPr>
        <w:pStyle w:val="Heading2"/>
      </w:pPr>
      <w:r>
        <w:t>Blind &amp; Low Vision Education Network NZ</w:t>
      </w:r>
    </w:p>
    <w:p w14:paraId="048C45EA" w14:textId="77777777" w:rsidR="007D63CE" w:rsidRDefault="007D63CE" w:rsidP="007D63CE"/>
    <w:p w14:paraId="1462CA3F" w14:textId="77777777" w:rsidR="007D63CE" w:rsidRDefault="007D63CE" w:rsidP="007D63CE">
      <w:pPr>
        <w:pStyle w:val="Heading2"/>
      </w:pPr>
      <w:r>
        <w:t>Statement of Intent:</w:t>
      </w:r>
    </w:p>
    <w:p w14:paraId="2CF59B1E" w14:textId="77777777" w:rsidR="007D63CE" w:rsidRDefault="007D63CE" w:rsidP="007D63CE">
      <w:r>
        <w:t>The Board of Trustees of the Blind &amp; Low Vision Education Network NZ (BLENNZ) will act as a good employer according to all relevant legislation and amendments, including but not limited to:</w:t>
      </w:r>
    </w:p>
    <w:p w14:paraId="4E9DDFFA" w14:textId="629F4010" w:rsidR="00EE2BAD" w:rsidRDefault="00EE2BAD" w:rsidP="007D63CE">
      <w:pPr>
        <w:pStyle w:val="ListParagraph"/>
        <w:numPr>
          <w:ilvl w:val="0"/>
          <w:numId w:val="1"/>
        </w:numPr>
      </w:pPr>
      <w:r>
        <w:t>Education &amp; Training Act 2020</w:t>
      </w:r>
    </w:p>
    <w:p w14:paraId="4961489B" w14:textId="77777777" w:rsidR="007D63CE" w:rsidRDefault="007D63CE" w:rsidP="007D63CE">
      <w:pPr>
        <w:pStyle w:val="ListParagraph"/>
        <w:numPr>
          <w:ilvl w:val="0"/>
          <w:numId w:val="1"/>
        </w:numPr>
      </w:pPr>
      <w:r>
        <w:t>Employment Relations Act 2000</w:t>
      </w:r>
    </w:p>
    <w:p w14:paraId="342B4B95" w14:textId="7D28CD2B" w:rsidR="007D63CE" w:rsidRDefault="00DA1F80" w:rsidP="007D63CE">
      <w:pPr>
        <w:pStyle w:val="ListParagraph"/>
        <w:numPr>
          <w:ilvl w:val="0"/>
          <w:numId w:val="1"/>
        </w:numPr>
      </w:pPr>
      <w:r>
        <w:t>Public Service Act 2020</w:t>
      </w:r>
    </w:p>
    <w:p w14:paraId="7BFF74D5" w14:textId="77777777" w:rsidR="007D63CE" w:rsidRDefault="007D63CE" w:rsidP="007D63CE">
      <w:pPr>
        <w:pStyle w:val="ListParagraph"/>
        <w:numPr>
          <w:ilvl w:val="0"/>
          <w:numId w:val="1"/>
        </w:numPr>
      </w:pPr>
      <w:r>
        <w:t>Human Rights Act 1993 and other relevant legislation</w:t>
      </w:r>
    </w:p>
    <w:p w14:paraId="12320A31" w14:textId="306394B6" w:rsidR="007D63CE" w:rsidRDefault="007D63CE" w:rsidP="007D63CE">
      <w:pPr>
        <w:pStyle w:val="ListParagraph"/>
        <w:numPr>
          <w:ilvl w:val="0"/>
          <w:numId w:val="1"/>
        </w:numPr>
      </w:pPr>
      <w:r>
        <w:t xml:space="preserve">Privacy Act </w:t>
      </w:r>
      <w:r w:rsidR="00DA1F80">
        <w:t>2020</w:t>
      </w:r>
    </w:p>
    <w:p w14:paraId="24BDA230" w14:textId="29DCA1C1" w:rsidR="007D63CE" w:rsidRDefault="007D63CE" w:rsidP="007D63CE">
      <w:pPr>
        <w:pStyle w:val="ListParagraph"/>
        <w:numPr>
          <w:ilvl w:val="0"/>
          <w:numId w:val="1"/>
        </w:numPr>
      </w:pPr>
      <w:r>
        <w:t>Protected Disclosures Act 20</w:t>
      </w:r>
      <w:r w:rsidR="00DA1F80">
        <w:t>22</w:t>
      </w:r>
    </w:p>
    <w:p w14:paraId="1A03E19C" w14:textId="77777777" w:rsidR="007D63CE" w:rsidRDefault="007D63CE" w:rsidP="007D63CE">
      <w:pPr>
        <w:pStyle w:val="ListParagraph"/>
        <w:numPr>
          <w:ilvl w:val="0"/>
          <w:numId w:val="1"/>
        </w:numPr>
      </w:pPr>
      <w:r>
        <w:t>NZ Bill of Rights Act 1990</w:t>
      </w:r>
    </w:p>
    <w:p w14:paraId="21F2CCCE" w14:textId="77777777" w:rsidR="009B52A8" w:rsidRDefault="007D63CE" w:rsidP="007D63CE">
      <w:pPr>
        <w:pStyle w:val="ListParagraph"/>
        <w:numPr>
          <w:ilvl w:val="0"/>
          <w:numId w:val="1"/>
        </w:numPr>
      </w:pPr>
      <w:r>
        <w:t>Employment Relations Act 2000</w:t>
      </w:r>
    </w:p>
    <w:p w14:paraId="7AA7B7F9" w14:textId="5B621AD1" w:rsidR="009B52A8" w:rsidRDefault="009B52A8" w:rsidP="007D63CE">
      <w:pPr>
        <w:pStyle w:val="ListParagraph"/>
        <w:numPr>
          <w:ilvl w:val="0"/>
          <w:numId w:val="1"/>
        </w:numPr>
      </w:pPr>
      <w:r>
        <w:t>Children’s Act 2014</w:t>
      </w:r>
    </w:p>
    <w:p w14:paraId="1E9919CE" w14:textId="1AFDCC4F" w:rsidR="004829DA" w:rsidRDefault="004829DA" w:rsidP="007D63CE">
      <w:pPr>
        <w:pStyle w:val="ListParagraph"/>
        <w:numPr>
          <w:ilvl w:val="0"/>
          <w:numId w:val="1"/>
        </w:numPr>
      </w:pPr>
      <w:r>
        <w:t>Health and Safety at Work Act 2015</w:t>
      </w:r>
    </w:p>
    <w:p w14:paraId="0F49D40E" w14:textId="77777777" w:rsidR="00944703" w:rsidRDefault="00944703" w:rsidP="00944703">
      <w:r>
        <w:t>The Board of Trustees will discharge its personnel management responsibilities in part by delegation to the Principal and others as appropriate or nominated, and in part by its own consultations and deliberations, and from time to time by those of its delegated personnel sub committee.</w:t>
      </w:r>
    </w:p>
    <w:p w14:paraId="1E58D5A9" w14:textId="77777777" w:rsidR="007D63CE" w:rsidRDefault="007D63CE" w:rsidP="007D63CE">
      <w:pPr>
        <w:pStyle w:val="Heading2"/>
      </w:pPr>
      <w:r>
        <w:t>Policy Requirements:</w:t>
      </w:r>
    </w:p>
    <w:p w14:paraId="51096D31" w14:textId="77777777" w:rsidR="00944703" w:rsidRDefault="00944703" w:rsidP="009B52A8">
      <w:r>
        <w:t>The Principal will be delegated the tasks of:</w:t>
      </w:r>
    </w:p>
    <w:p w14:paraId="71AEBE80" w14:textId="77777777" w:rsidR="009B52A8" w:rsidRDefault="009B52A8" w:rsidP="009B52A8">
      <w:pPr>
        <w:pStyle w:val="ListParagraph"/>
        <w:numPr>
          <w:ilvl w:val="0"/>
          <w:numId w:val="1"/>
        </w:numPr>
      </w:pPr>
      <w:r>
        <w:t>Developing and implementing personnel and industrial policies, within policy and procedural frameworks set by the Government from time to time, which promote high levels of staff performance, use educational resources effectively and recognises the needs of ākonga. These include but are not limited to:</w:t>
      </w:r>
    </w:p>
    <w:p w14:paraId="57CF1C33" w14:textId="77777777" w:rsidR="009B52A8" w:rsidRDefault="009B52A8" w:rsidP="009B52A8">
      <w:pPr>
        <w:pStyle w:val="ListParagraph"/>
        <w:numPr>
          <w:ilvl w:val="0"/>
          <w:numId w:val="3"/>
        </w:numPr>
      </w:pPr>
      <w:r>
        <w:t>Concerns and Complaints</w:t>
      </w:r>
    </w:p>
    <w:p w14:paraId="3F79B95A" w14:textId="77777777" w:rsidR="009B52A8" w:rsidRDefault="009B52A8" w:rsidP="009B52A8">
      <w:pPr>
        <w:pStyle w:val="ListParagraph"/>
        <w:numPr>
          <w:ilvl w:val="0"/>
          <w:numId w:val="3"/>
        </w:numPr>
      </w:pPr>
      <w:r>
        <w:t>Code of Conduct</w:t>
      </w:r>
    </w:p>
    <w:p w14:paraId="3BC88FF5" w14:textId="77777777" w:rsidR="00853645" w:rsidRDefault="00853645" w:rsidP="009B52A8">
      <w:pPr>
        <w:pStyle w:val="ListParagraph"/>
        <w:numPr>
          <w:ilvl w:val="0"/>
          <w:numId w:val="3"/>
        </w:numPr>
      </w:pPr>
      <w:r>
        <w:t>Leave for Teaching and Non Teaching Staff</w:t>
      </w:r>
    </w:p>
    <w:p w14:paraId="184770D0" w14:textId="77777777" w:rsidR="009B52A8" w:rsidRDefault="009B52A8" w:rsidP="009B52A8">
      <w:pPr>
        <w:pStyle w:val="ListParagraph"/>
        <w:numPr>
          <w:ilvl w:val="0"/>
          <w:numId w:val="3"/>
        </w:numPr>
      </w:pPr>
      <w:r>
        <w:t>Equal Employment Opportunities</w:t>
      </w:r>
    </w:p>
    <w:p w14:paraId="07BFA7FE" w14:textId="77777777" w:rsidR="009B52A8" w:rsidRDefault="009B52A8" w:rsidP="009B52A8">
      <w:pPr>
        <w:pStyle w:val="ListParagraph"/>
        <w:numPr>
          <w:ilvl w:val="0"/>
          <w:numId w:val="3"/>
        </w:numPr>
      </w:pPr>
      <w:r>
        <w:t>Management Unit Allocation</w:t>
      </w:r>
    </w:p>
    <w:p w14:paraId="5E9C793D" w14:textId="77777777" w:rsidR="009B52A8" w:rsidRDefault="009B52A8" w:rsidP="009B52A8">
      <w:pPr>
        <w:pStyle w:val="ListParagraph"/>
        <w:numPr>
          <w:ilvl w:val="0"/>
          <w:numId w:val="3"/>
        </w:numPr>
      </w:pPr>
      <w:r>
        <w:t>Induction</w:t>
      </w:r>
    </w:p>
    <w:p w14:paraId="33E3FB51" w14:textId="77777777" w:rsidR="009B52A8" w:rsidRDefault="009B52A8" w:rsidP="009B52A8">
      <w:pPr>
        <w:pStyle w:val="ListParagraph"/>
        <w:numPr>
          <w:ilvl w:val="0"/>
          <w:numId w:val="3"/>
        </w:numPr>
      </w:pPr>
      <w:r>
        <w:t xml:space="preserve">Staff </w:t>
      </w:r>
      <w:r w:rsidR="00853645">
        <w:t>Recruitment and Appointment</w:t>
      </w:r>
    </w:p>
    <w:p w14:paraId="4C2D2A51" w14:textId="77777777" w:rsidR="009B52A8" w:rsidRDefault="009B52A8" w:rsidP="009B52A8">
      <w:pPr>
        <w:pStyle w:val="ListParagraph"/>
        <w:numPr>
          <w:ilvl w:val="0"/>
          <w:numId w:val="3"/>
        </w:numPr>
      </w:pPr>
      <w:r>
        <w:t>Working from Home and Staff Ākonga in the Workplace</w:t>
      </w:r>
    </w:p>
    <w:p w14:paraId="7BBD41BC" w14:textId="77777777" w:rsidR="009B52A8" w:rsidRDefault="009B52A8" w:rsidP="009B52A8">
      <w:pPr>
        <w:pStyle w:val="ListParagraph"/>
        <w:numPr>
          <w:ilvl w:val="0"/>
          <w:numId w:val="3"/>
        </w:numPr>
      </w:pPr>
      <w:r>
        <w:t>Succession Planning</w:t>
      </w:r>
    </w:p>
    <w:p w14:paraId="268FC11C" w14:textId="77777777" w:rsidR="009B52A8" w:rsidRDefault="00944703" w:rsidP="009B52A8">
      <w:pPr>
        <w:pStyle w:val="ListParagraph"/>
        <w:numPr>
          <w:ilvl w:val="0"/>
          <w:numId w:val="3"/>
        </w:numPr>
      </w:pPr>
      <w:r>
        <w:t>Performance Appraisal</w:t>
      </w:r>
    </w:p>
    <w:p w14:paraId="73F013BA" w14:textId="77777777" w:rsidR="00944703" w:rsidRDefault="00853645" w:rsidP="009B52A8">
      <w:pPr>
        <w:pStyle w:val="ListParagraph"/>
        <w:numPr>
          <w:ilvl w:val="0"/>
          <w:numId w:val="3"/>
        </w:numPr>
      </w:pPr>
      <w:r>
        <w:t>Classroom Release Time.</w:t>
      </w:r>
    </w:p>
    <w:p w14:paraId="5C31CE7D" w14:textId="77777777" w:rsidR="006060B9" w:rsidRDefault="006060B9" w:rsidP="00905515">
      <w:pPr>
        <w:ind w:firstLine="720"/>
      </w:pPr>
    </w:p>
    <w:p w14:paraId="7DCB7E6D" w14:textId="77777777" w:rsidR="00944703" w:rsidRPr="006060B9" w:rsidRDefault="006060B9" w:rsidP="006060B9">
      <w:pPr>
        <w:tabs>
          <w:tab w:val="left" w:pos="1985"/>
        </w:tabs>
      </w:pPr>
      <w:r>
        <w:lastRenderedPageBreak/>
        <w:tab/>
      </w:r>
    </w:p>
    <w:p w14:paraId="02BE26D2" w14:textId="77777777" w:rsidR="009B52A8" w:rsidRDefault="009B52A8" w:rsidP="009B52A8">
      <w:pPr>
        <w:pStyle w:val="ListParagraph"/>
        <w:numPr>
          <w:ilvl w:val="0"/>
          <w:numId w:val="1"/>
        </w:numPr>
      </w:pPr>
      <w:r>
        <w:t>Complying with the conditions contained in collective employment agreements for both teaching and non teaching staff.</w:t>
      </w:r>
    </w:p>
    <w:p w14:paraId="53E3E648" w14:textId="77777777" w:rsidR="009B52A8" w:rsidRDefault="009B52A8" w:rsidP="009B52A8">
      <w:pPr>
        <w:pStyle w:val="ListParagraph"/>
        <w:numPr>
          <w:ilvl w:val="0"/>
          <w:numId w:val="1"/>
        </w:numPr>
      </w:pPr>
      <w:r>
        <w:t>Complying with Ministry of Education promulgated Individual Employment Agreements for those staff not covered by collective agreements (i.e. staff who have chosen not to belong to their respective unions).</w:t>
      </w:r>
    </w:p>
    <w:p w14:paraId="69064780" w14:textId="77777777" w:rsidR="009B52A8" w:rsidRDefault="009B52A8" w:rsidP="009B52A8">
      <w:pPr>
        <w:pStyle w:val="ListParagraph"/>
        <w:numPr>
          <w:ilvl w:val="0"/>
          <w:numId w:val="1"/>
        </w:numPr>
      </w:pPr>
      <w:r>
        <w:t>Ensuring BLENNZ complies with:</w:t>
      </w:r>
    </w:p>
    <w:p w14:paraId="30F1E732" w14:textId="77777777" w:rsidR="009B52A8" w:rsidRDefault="009B52A8" w:rsidP="009B52A8">
      <w:pPr>
        <w:pStyle w:val="ListParagraph"/>
        <w:numPr>
          <w:ilvl w:val="0"/>
          <w:numId w:val="2"/>
        </w:numPr>
      </w:pPr>
      <w:r>
        <w:t xml:space="preserve">NZ </w:t>
      </w:r>
      <w:r w:rsidR="00EE13B6">
        <w:t>Education Council</w:t>
      </w:r>
      <w:r>
        <w:t xml:space="preserve"> requirements</w:t>
      </w:r>
    </w:p>
    <w:p w14:paraId="4B3F4001" w14:textId="142E7866" w:rsidR="007650A9" w:rsidRDefault="00EE13B6" w:rsidP="009B52A8">
      <w:pPr>
        <w:pStyle w:val="ListParagraph"/>
        <w:numPr>
          <w:ilvl w:val="0"/>
          <w:numId w:val="2"/>
        </w:numPr>
      </w:pPr>
      <w:r>
        <w:t xml:space="preserve">Education </w:t>
      </w:r>
      <w:r w:rsidR="00EE2BAD">
        <w:t xml:space="preserve">and Training </w:t>
      </w:r>
      <w:r>
        <w:t xml:space="preserve">Act </w:t>
      </w:r>
      <w:r w:rsidR="00EE2BAD">
        <w:t xml:space="preserve">2020 </w:t>
      </w:r>
      <w:r>
        <w:t>vetting requirements</w:t>
      </w:r>
    </w:p>
    <w:p w14:paraId="54875435" w14:textId="0D7D87B8" w:rsidR="009B52A8" w:rsidRDefault="007650A9" w:rsidP="009B52A8">
      <w:pPr>
        <w:pStyle w:val="ListParagraph"/>
        <w:numPr>
          <w:ilvl w:val="0"/>
          <w:numId w:val="2"/>
        </w:numPr>
      </w:pPr>
      <w:r>
        <w:t>Children’s Act 2014.</w:t>
      </w:r>
    </w:p>
    <w:p w14:paraId="66B65A08" w14:textId="77777777" w:rsidR="007D63CE" w:rsidRDefault="007D63CE" w:rsidP="007D63CE"/>
    <w:p w14:paraId="7CA8CA81" w14:textId="77777777" w:rsidR="00712E19" w:rsidRDefault="00712E19" w:rsidP="00712E19">
      <w:pPr>
        <w:pStyle w:val="Heading2"/>
      </w:pPr>
      <w:r>
        <w:t>Supporting Documentation:</w:t>
      </w:r>
    </w:p>
    <w:p w14:paraId="726DC2C0" w14:textId="77777777" w:rsidR="00712E19" w:rsidRDefault="00197908" w:rsidP="00712E19">
      <w:hyperlink r:id="rId7" w:history="1">
        <w:r w:rsidR="00712E19" w:rsidRPr="003736FC">
          <w:rPr>
            <w:rStyle w:val="Hyperlink"/>
          </w:rPr>
          <w:t>Education Council website</w:t>
        </w:r>
      </w:hyperlink>
    </w:p>
    <w:p w14:paraId="25789AA0" w14:textId="09EA9381" w:rsidR="00EE2BAD" w:rsidRDefault="00197908" w:rsidP="00712E19">
      <w:hyperlink r:id="rId8" w:history="1">
        <w:r w:rsidR="00EE2BAD">
          <w:rPr>
            <w:rStyle w:val="Hyperlink"/>
          </w:rPr>
          <w:t>Education and Training Act 2020</w:t>
        </w:r>
      </w:hyperlink>
      <w:r w:rsidR="00EE2BAD">
        <w:t xml:space="preserve"> </w:t>
      </w:r>
    </w:p>
    <w:p w14:paraId="69244066" w14:textId="77777777" w:rsidR="00712E19" w:rsidRDefault="00197908" w:rsidP="00712E19">
      <w:hyperlink r:id="rId9" w:history="1">
        <w:r w:rsidR="00712E19" w:rsidRPr="003F61A6">
          <w:rPr>
            <w:rStyle w:val="Hyperlink"/>
          </w:rPr>
          <w:t>Ministry of Business Innovation and Employment Website</w:t>
        </w:r>
      </w:hyperlink>
    </w:p>
    <w:p w14:paraId="3471429C" w14:textId="0D7DD902" w:rsidR="00712E19" w:rsidRDefault="00197908" w:rsidP="00EF4918">
      <w:hyperlink r:id="rId10" w:history="1">
        <w:r w:rsidR="00712E19" w:rsidRPr="003F61A6">
          <w:rPr>
            <w:rStyle w:val="Hyperlink"/>
          </w:rPr>
          <w:t>Government Legislation Website</w:t>
        </w:r>
      </w:hyperlink>
      <w:r w:rsidR="006060B9">
        <w:t xml:space="preserve"> </w:t>
      </w:r>
    </w:p>
    <w:p w14:paraId="62DD25E5" w14:textId="1FD019E3" w:rsidR="00EF4918" w:rsidRDefault="00197908" w:rsidP="00712E19">
      <w:hyperlink r:id="rId11" w:history="1">
        <w:r w:rsidR="00EF4918">
          <w:rPr>
            <w:rStyle w:val="Hyperlink"/>
          </w:rPr>
          <w:t>Ministry of Education Website: Collective Agreements</w:t>
        </w:r>
      </w:hyperlink>
      <w:r w:rsidR="00EF4918">
        <w:t xml:space="preserve"> </w:t>
      </w:r>
    </w:p>
    <w:p w14:paraId="78153B7A" w14:textId="6CA804B2" w:rsidR="00712E19" w:rsidRDefault="00197908" w:rsidP="00712E19">
      <w:hyperlink r:id="rId12" w:anchor="sh-vulnerable%20childrens%20act" w:history="1">
        <w:r w:rsidR="004829DA">
          <w:rPr>
            <w:rStyle w:val="Hyperlink"/>
          </w:rPr>
          <w:t>Ministry of Education Website: Guide to Children's Act</w:t>
        </w:r>
      </w:hyperlink>
      <w:r w:rsidR="006060B9">
        <w:t xml:space="preserve"> </w:t>
      </w:r>
    </w:p>
    <w:p w14:paraId="6197AB3C" w14:textId="77777777" w:rsidR="006060B9" w:rsidRDefault="006060B9" w:rsidP="00712E19"/>
    <w:p w14:paraId="1290F6A4" w14:textId="7DBC24DB" w:rsidR="00905515" w:rsidRDefault="00712E19" w:rsidP="00712E19">
      <w:r>
        <w:t>Approved:</w:t>
      </w:r>
      <w:r w:rsidR="00CF7922">
        <w:t xml:space="preserve"> </w:t>
      </w:r>
      <w:r>
        <w:tab/>
      </w:r>
      <w:r w:rsidR="00E735E7">
        <w:rPr>
          <w:noProof/>
        </w:rPr>
        <w:drawing>
          <wp:inline distT="0" distB="0" distL="0" distR="0" wp14:anchorId="35DEE576" wp14:editId="21C323FE">
            <wp:extent cx="1319033" cy="1327150"/>
            <wp:effectExtent l="0" t="0" r="0" b="6350"/>
            <wp:docPr id="1992347778" name="Picture 1" descr="Signature: Christopher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47778" name="Picture 1" descr="Signature: Christopher Gun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9033" cy="1327150"/>
                    </a:xfrm>
                    <a:prstGeom prst="rect">
                      <a:avLst/>
                    </a:prstGeom>
                  </pic:spPr>
                </pic:pic>
              </a:graphicData>
            </a:graphic>
          </wp:inline>
        </w:drawing>
      </w:r>
    </w:p>
    <w:p w14:paraId="5E529CE3" w14:textId="5B1DD00B" w:rsidR="00905515" w:rsidRPr="00712E19" w:rsidRDefault="00905515" w:rsidP="00712E19">
      <w:r>
        <w:t>Date:</w:t>
      </w:r>
      <w:r>
        <w:tab/>
      </w:r>
      <w:r w:rsidR="00E735E7">
        <w:t>14 June 2024</w:t>
      </w:r>
    </w:p>
    <w:p w14:paraId="225989DB" w14:textId="233C5505" w:rsidR="00AE0F09" w:rsidRPr="007D63CE" w:rsidRDefault="00AE0F09" w:rsidP="007D63CE">
      <w:r>
        <w:t>Next Review Date:</w:t>
      </w:r>
      <w:r>
        <w:tab/>
      </w:r>
      <w:r w:rsidR="00EF4918">
        <w:t xml:space="preserve">June </w:t>
      </w:r>
      <w:r w:rsidR="004829DA">
        <w:t>2027</w:t>
      </w:r>
    </w:p>
    <w:sectPr w:rsidR="00AE0F09" w:rsidRPr="007D63CE" w:rsidSect="00BB2031">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D2CB2" w14:textId="77777777" w:rsidR="00944703" w:rsidRDefault="00944703" w:rsidP="00944703">
      <w:pPr>
        <w:spacing w:after="0" w:line="240" w:lineRule="auto"/>
      </w:pPr>
      <w:r>
        <w:separator/>
      </w:r>
    </w:p>
  </w:endnote>
  <w:endnote w:type="continuationSeparator" w:id="0">
    <w:p w14:paraId="66C0F8CA" w14:textId="77777777" w:rsidR="00944703" w:rsidRDefault="00944703" w:rsidP="0094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347EB" w14:textId="141458FA" w:rsidR="00944703" w:rsidRDefault="00905515">
    <w:pPr>
      <w:pStyle w:val="Footer"/>
      <w:rPr>
        <w:b/>
        <w:bCs/>
      </w:rPr>
    </w:pPr>
    <w:r>
      <w:t xml:space="preserve">PN3-3 </w:t>
    </w:r>
    <w:r w:rsidR="000331F0">
      <w:t>202</w:t>
    </w:r>
    <w:r w:rsidR="004829DA">
      <w:t>4</w:t>
    </w:r>
    <w:r w:rsidR="000331F0">
      <w:t xml:space="preserve"> </w:t>
    </w:r>
    <w:r>
      <w:t>Personnel Management</w:t>
    </w:r>
    <w:r w:rsidR="00944703">
      <w:tab/>
    </w:r>
    <w:r w:rsidR="00944703">
      <w:tab/>
      <w:t xml:space="preserve">Page </w:t>
    </w:r>
    <w:r w:rsidR="00944703">
      <w:rPr>
        <w:b/>
        <w:bCs/>
      </w:rPr>
      <w:fldChar w:fldCharType="begin"/>
    </w:r>
    <w:r w:rsidR="00944703">
      <w:rPr>
        <w:b/>
        <w:bCs/>
      </w:rPr>
      <w:instrText xml:space="preserve"> PAGE  \* Arabic  \* MERGEFORMAT </w:instrText>
    </w:r>
    <w:r w:rsidR="00944703">
      <w:rPr>
        <w:b/>
        <w:bCs/>
      </w:rPr>
      <w:fldChar w:fldCharType="separate"/>
    </w:r>
    <w:r w:rsidR="000331F0">
      <w:rPr>
        <w:b/>
        <w:bCs/>
        <w:noProof/>
      </w:rPr>
      <w:t>2</w:t>
    </w:r>
    <w:r w:rsidR="00944703">
      <w:rPr>
        <w:b/>
        <w:bCs/>
      </w:rPr>
      <w:fldChar w:fldCharType="end"/>
    </w:r>
    <w:r w:rsidR="00944703">
      <w:t xml:space="preserve"> of </w:t>
    </w:r>
    <w:r w:rsidR="00944703">
      <w:rPr>
        <w:b/>
        <w:bCs/>
      </w:rPr>
      <w:fldChar w:fldCharType="begin"/>
    </w:r>
    <w:r w:rsidR="00944703">
      <w:rPr>
        <w:b/>
        <w:bCs/>
      </w:rPr>
      <w:instrText xml:space="preserve"> NUMPAGES  \* Arabic  \* MERGEFORMAT </w:instrText>
    </w:r>
    <w:r w:rsidR="00944703">
      <w:rPr>
        <w:b/>
        <w:bCs/>
      </w:rPr>
      <w:fldChar w:fldCharType="separate"/>
    </w:r>
    <w:r w:rsidR="000331F0">
      <w:rPr>
        <w:b/>
        <w:bCs/>
        <w:noProof/>
      </w:rPr>
      <w:t>2</w:t>
    </w:r>
    <w:r w:rsidR="00944703">
      <w:rPr>
        <w:b/>
        <w:bCs/>
      </w:rPr>
      <w:fldChar w:fldCharType="end"/>
    </w:r>
  </w:p>
  <w:p w14:paraId="381DD221" w14:textId="4B3DABEF" w:rsidR="00944703" w:rsidRDefault="00EF4918">
    <w:pPr>
      <w:pStyle w:val="Footer"/>
    </w:pPr>
    <w:r>
      <w:rPr>
        <w:bCs/>
      </w:rPr>
      <w:t>June</w:t>
    </w:r>
    <w:r w:rsidR="004829DA">
      <w:rPr>
        <w:b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8E2A" w14:textId="77777777" w:rsidR="00944703" w:rsidRDefault="00944703" w:rsidP="00944703">
      <w:pPr>
        <w:spacing w:after="0" w:line="240" w:lineRule="auto"/>
      </w:pPr>
      <w:r>
        <w:separator/>
      </w:r>
    </w:p>
  </w:footnote>
  <w:footnote w:type="continuationSeparator" w:id="0">
    <w:p w14:paraId="66FA68EF" w14:textId="77777777" w:rsidR="00944703" w:rsidRDefault="00944703" w:rsidP="00944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5BCC"/>
    <w:multiLevelType w:val="hybridMultilevel"/>
    <w:tmpl w:val="CDBE9F9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E2E1C04"/>
    <w:multiLevelType w:val="hybridMultilevel"/>
    <w:tmpl w:val="D99A6B12"/>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56263EBB"/>
    <w:multiLevelType w:val="hybridMultilevel"/>
    <w:tmpl w:val="0C544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83368535">
    <w:abstractNumId w:val="2"/>
  </w:num>
  <w:num w:numId="2" w16cid:durableId="1162506814">
    <w:abstractNumId w:val="1"/>
  </w:num>
  <w:num w:numId="3" w16cid:durableId="32736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C6"/>
    <w:rsid w:val="000331F0"/>
    <w:rsid w:val="00085B93"/>
    <w:rsid w:val="000C027A"/>
    <w:rsid w:val="00174AA0"/>
    <w:rsid w:val="00197908"/>
    <w:rsid w:val="001C57DA"/>
    <w:rsid w:val="001F4077"/>
    <w:rsid w:val="004829DA"/>
    <w:rsid w:val="00575411"/>
    <w:rsid w:val="005F4A14"/>
    <w:rsid w:val="006060B9"/>
    <w:rsid w:val="006352E4"/>
    <w:rsid w:val="0070114C"/>
    <w:rsid w:val="00712E19"/>
    <w:rsid w:val="007650A9"/>
    <w:rsid w:val="007D63CE"/>
    <w:rsid w:val="00833DD5"/>
    <w:rsid w:val="00853645"/>
    <w:rsid w:val="008B2A25"/>
    <w:rsid w:val="00905515"/>
    <w:rsid w:val="00944703"/>
    <w:rsid w:val="009921C6"/>
    <w:rsid w:val="009B52A8"/>
    <w:rsid w:val="00A66807"/>
    <w:rsid w:val="00AB4953"/>
    <w:rsid w:val="00AC19B9"/>
    <w:rsid w:val="00AE0F09"/>
    <w:rsid w:val="00BB2031"/>
    <w:rsid w:val="00BF61C8"/>
    <w:rsid w:val="00C63AD4"/>
    <w:rsid w:val="00CC458D"/>
    <w:rsid w:val="00CF7922"/>
    <w:rsid w:val="00D26A09"/>
    <w:rsid w:val="00D90C9B"/>
    <w:rsid w:val="00DA1F80"/>
    <w:rsid w:val="00DB6477"/>
    <w:rsid w:val="00DC6CFB"/>
    <w:rsid w:val="00E735E7"/>
    <w:rsid w:val="00EE13B6"/>
    <w:rsid w:val="00EE2BAD"/>
    <w:rsid w:val="00EF4918"/>
    <w:rsid w:val="00F35788"/>
    <w:rsid w:val="00F666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12BB"/>
  <w15:chartTrackingRefBased/>
  <w15:docId w15:val="{6F97A7EC-9996-4991-AEF9-054AFA30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D4"/>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57541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754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paragraph" w:styleId="ListParagraph">
    <w:name w:val="List Paragraph"/>
    <w:basedOn w:val="Normal"/>
    <w:uiPriority w:val="34"/>
    <w:qFormat/>
    <w:rsid w:val="007D63CE"/>
    <w:pPr>
      <w:ind w:left="720"/>
      <w:contextualSpacing/>
    </w:pPr>
  </w:style>
  <w:style w:type="paragraph" w:styleId="Header">
    <w:name w:val="header"/>
    <w:basedOn w:val="Normal"/>
    <w:link w:val="HeaderChar"/>
    <w:uiPriority w:val="99"/>
    <w:unhideWhenUsed/>
    <w:rsid w:val="00944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703"/>
    <w:rPr>
      <w:rFonts w:ascii="Arial" w:hAnsi="Arial"/>
      <w:sz w:val="24"/>
    </w:rPr>
  </w:style>
  <w:style w:type="paragraph" w:styleId="Footer">
    <w:name w:val="footer"/>
    <w:basedOn w:val="Normal"/>
    <w:link w:val="FooterChar"/>
    <w:uiPriority w:val="99"/>
    <w:unhideWhenUsed/>
    <w:rsid w:val="00944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703"/>
    <w:rPr>
      <w:rFonts w:ascii="Arial" w:hAnsi="Arial"/>
      <w:sz w:val="24"/>
    </w:rPr>
  </w:style>
  <w:style w:type="character" w:styleId="Hyperlink">
    <w:name w:val="Hyperlink"/>
    <w:basedOn w:val="DefaultParagraphFont"/>
    <w:uiPriority w:val="99"/>
    <w:unhideWhenUsed/>
    <w:rsid w:val="00712E19"/>
    <w:rPr>
      <w:color w:val="0563C1" w:themeColor="hyperlink"/>
      <w:u w:val="single"/>
    </w:rPr>
  </w:style>
  <w:style w:type="paragraph" w:styleId="BalloonText">
    <w:name w:val="Balloon Text"/>
    <w:basedOn w:val="Normal"/>
    <w:link w:val="BalloonTextChar"/>
    <w:uiPriority w:val="99"/>
    <w:semiHidden/>
    <w:unhideWhenUsed/>
    <w:rsid w:val="00712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E19"/>
    <w:rPr>
      <w:rFonts w:ascii="Segoe UI" w:hAnsi="Segoe UI" w:cs="Segoe UI"/>
      <w:sz w:val="18"/>
      <w:szCs w:val="18"/>
    </w:rPr>
  </w:style>
  <w:style w:type="character" w:styleId="FollowedHyperlink">
    <w:name w:val="FollowedHyperlink"/>
    <w:basedOn w:val="DefaultParagraphFont"/>
    <w:uiPriority w:val="99"/>
    <w:semiHidden/>
    <w:unhideWhenUsed/>
    <w:rsid w:val="006060B9"/>
    <w:rPr>
      <w:color w:val="954F72" w:themeColor="followedHyperlink"/>
      <w:u w:val="single"/>
    </w:rPr>
  </w:style>
  <w:style w:type="character" w:styleId="UnresolvedMention">
    <w:name w:val="Unresolved Mention"/>
    <w:basedOn w:val="DefaultParagraphFont"/>
    <w:uiPriority w:val="99"/>
    <w:semiHidden/>
    <w:unhideWhenUsed/>
    <w:rsid w:val="00EE2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2020/0038/latest/LMS170676.html"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ducationcouncil.org.nz/" TargetMode="External"/><Relationship Id="rId12" Type="http://schemas.openxmlformats.org/officeDocument/2006/relationships/hyperlink" Target="https://www.education.govt.nz/school/health-safety-and-wellbeing/pastoral-care-and-wellbeing/childrens-act-2014-requirements-for-schools-and-ku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vt.nz/school/people-and-employment/employment-agreements/collective-agreem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islation.govt.nz/" TargetMode="External"/><Relationship Id="rId4" Type="http://schemas.openxmlformats.org/officeDocument/2006/relationships/webSettings" Target="webSettings.xml"/><Relationship Id="rId9" Type="http://schemas.openxmlformats.org/officeDocument/2006/relationships/hyperlink" Target="http://employment.govt.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2021-05-31T02:55:00Z</cp:lastPrinted>
  <dcterms:created xsi:type="dcterms:W3CDTF">2024-07-21T20:33:00Z</dcterms:created>
  <dcterms:modified xsi:type="dcterms:W3CDTF">2024-07-21T20:33:00Z</dcterms:modified>
</cp:coreProperties>
</file>